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 w:themeShade="bf"/>
          <w:sz w:val="36"/>
          <w:szCs w:val="36"/>
        </w:rPr>
        <w:t>Department of Education</w:t>
      </w:r>
    </w:p>
    <w:p>
      <w:pPr>
        <w:pStyle w:val="Header"/>
        <w:jc w:val="center"/>
        <w:rPr/>
      </w:pPr>
      <w:r>
        <w:rPr>
          <w:rFonts w:cs="Times New Roman" w:ascii="Times New Roman" w:hAnsi="Times New Roman"/>
          <w:b/>
          <w:color w:val="17365D" w:themeColor="text2" w:themeShade="bf"/>
          <w:sz w:val="36"/>
          <w:szCs w:val="36"/>
        </w:rPr>
        <w:t>Graphical Representation of the Feed Back From Parents</w:t>
      </w:r>
    </w:p>
    <w:p>
      <w:pPr>
        <w:pStyle w:val="Header"/>
        <w:jc w:val="center"/>
        <w:rPr/>
      </w:pPr>
      <w:r>
        <w:rPr>
          <w:rFonts w:cs="Times New Roman" w:ascii="Times New Roman" w:hAnsi="Times New Roman"/>
          <w:b/>
          <w:color w:val="17365D" w:themeColor="text2" w:themeShade="bf"/>
          <w:sz w:val="36"/>
          <w:szCs w:val="36"/>
        </w:rPr>
        <w:t>(According to Feedback form)</w:t>
      </w:r>
    </w:p>
    <w:p>
      <w:pPr>
        <w:pStyle w:val="Header"/>
        <w:jc w:val="center"/>
        <w:rPr/>
      </w:pPr>
      <w:r>
        <w:rPr>
          <w:rFonts w:cs="Times New Roman" w:ascii="Times New Roman" w:hAnsi="Times New Roman"/>
          <w:b/>
          <w:color w:val="17365D" w:themeColor="text2" w:themeShade="bf"/>
          <w:sz w:val="36"/>
          <w:szCs w:val="36"/>
        </w:rPr>
        <w:t>Academic Session 2018-19</w:t>
      </w:r>
    </w:p>
    <w:p>
      <w:pPr>
        <w:pStyle w:val="Header"/>
        <w:jc w:val="center"/>
        <w:rPr>
          <w:rFonts w:ascii="Times New Roman" w:hAnsi="Times New Roman" w:cs="Times New Roman"/>
          <w:b/>
          <w:b/>
          <w:color w:val="17365D" w:themeColor="text2" w:themeShade="bf"/>
          <w:sz w:val="36"/>
          <w:szCs w:val="36"/>
        </w:rPr>
      </w:pPr>
      <w:r>
        <w:rPr>
          <w:rFonts w:cs="Times New Roman" w:ascii="Times New Roman" w:hAnsi="Times New Roman"/>
          <w:b/>
          <w:color w:val="17365D" w:themeColor="text2" w:themeShade="bf"/>
          <w:sz w:val="36"/>
          <w:szCs w:val="3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For the Batch : 2017-19</w:t>
      </w:r>
    </w:p>
    <w:p>
      <w:pPr>
        <w:pStyle w:val="Normal"/>
        <w:rPr/>
      </w:pPr>
      <w:r>
        <w:rPr/>
        <w:drawing>
          <wp:inline distT="0" distB="0" distL="0" distR="0">
            <wp:extent cx="5448935" cy="324802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  <w:t>FOR THE Qn No. 1,2,3 &amp; 12: A= yes, B= No</w:t>
      </w:r>
    </w:p>
    <w:p>
      <w:pPr>
        <w:pStyle w:val="Normal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For the Batch : 2018-20</w:t>
      </w:r>
    </w:p>
    <w:p>
      <w:pPr>
        <w:pStyle w:val="Normal"/>
        <w:rPr/>
      </w:pPr>
      <w:r>
        <w:rPr/>
        <w:drawing>
          <wp:inline distT="0" distB="0" distL="0" distR="0">
            <wp:extent cx="5410200" cy="269557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spacing w:before="0" w:after="200"/>
        <w:jc w:val="center"/>
        <w:rPr/>
      </w:pPr>
      <w:r>
        <w:rPr>
          <w:b/>
        </w:rPr>
        <w:t>FOR THE Qn No. 1,2,3 &amp; 12: A= yes, B= No</w:t>
      </w:r>
    </w:p>
    <w:sectPr>
      <w:type w:val="nextPage"/>
      <w:pgSz w:w="12240" w:h="15840"/>
      <w:pgMar w:left="1440" w:right="1440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4ae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058d6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058d6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4058d6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058d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Answer In % A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45.8333333333333</c:v>
                </c:pt>
                <c:pt idx="1">
                  <c:v>70.8333333333333</c:v>
                </c:pt>
                <c:pt idx="2">
                  <c:v>27.0833333333333</c:v>
                </c:pt>
                <c:pt idx="3">
                  <c:v>10.4166666666667</c:v>
                </c:pt>
                <c:pt idx="4">
                  <c:v>22.9166666666667</c:v>
                </c:pt>
                <c:pt idx="5">
                  <c:v>14.5833333333333</c:v>
                </c:pt>
                <c:pt idx="6">
                  <c:v>12.5</c:v>
                </c:pt>
                <c:pt idx="7">
                  <c:v>22.9166666666667</c:v>
                </c:pt>
                <c:pt idx="8">
                  <c:v>14.5833333333333</c:v>
                </c:pt>
                <c:pt idx="9">
                  <c:v>4.16666666666667</c:v>
                </c:pt>
                <c:pt idx="10">
                  <c:v>14.5833333333333</c:v>
                </c:pt>
                <c:pt idx="11">
                  <c:v>27.0833333333333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Answer In % B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2"/>
                <c:pt idx="0">
                  <c:v>54.1666666666666</c:v>
                </c:pt>
                <c:pt idx="1">
                  <c:v>29.1666666666667</c:v>
                </c:pt>
                <c:pt idx="2">
                  <c:v>72.9166666666667</c:v>
                </c:pt>
                <c:pt idx="3">
                  <c:v>89.5833333333333</c:v>
                </c:pt>
                <c:pt idx="4">
                  <c:v>43.75</c:v>
                </c:pt>
                <c:pt idx="5">
                  <c:v>64.5833333333333</c:v>
                </c:pt>
                <c:pt idx="6">
                  <c:v>56.25</c:v>
                </c:pt>
                <c:pt idx="7">
                  <c:v>43.75</c:v>
                </c:pt>
                <c:pt idx="8">
                  <c:v>39.5833333333333</c:v>
                </c:pt>
                <c:pt idx="9">
                  <c:v>43.75</c:v>
                </c:pt>
                <c:pt idx="10">
                  <c:v>41.6666666666667</c:v>
                </c:pt>
                <c:pt idx="11">
                  <c:v>72.9166666666667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Answer In % C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2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>31.25</c:v>
                </c:pt>
                <c:pt idx="5">
                  <c:v>20.8333333333333</c:v>
                </c:pt>
                <c:pt idx="6">
                  <c:v>27.0833333333333</c:v>
                </c:pt>
                <c:pt idx="7">
                  <c:v>31.25</c:v>
                </c:pt>
                <c:pt idx="8">
                  <c:v>45.8333333333333</c:v>
                </c:pt>
                <c:pt idx="9">
                  <c:v>43.75</c:v>
                </c:pt>
                <c:pt idx="10">
                  <c:v>39.5833333333333</c:v>
                </c:pt>
                <c:pt idx="11">
                  <c:v/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Answer In % D</c:v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2.08333333333333</c:v>
                </c:pt>
                <c:pt idx="5">
                  <c:v>0</c:v>
                </c:pt>
                <c:pt idx="6">
                  <c:v>4.16666666666667</c:v>
                </c:pt>
                <c:pt idx="7">
                  <c:v>2.08333333333333</c:v>
                </c:pt>
                <c:pt idx="8">
                  <c:v>0</c:v>
                </c:pt>
                <c:pt idx="9">
                  <c:v>8.33333333333333</c:v>
                </c:pt>
                <c:pt idx="10">
                  <c:v>4.16666666666667</c:v>
                </c:pt>
                <c:pt idx="11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Answer In % E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gapWidth val="150"/>
        <c:shape val="cylinder"/>
        <c:axId val="76212840"/>
        <c:axId val="53742780"/>
        <c:axId val="0"/>
      </c:bar3DChart>
      <c:catAx>
        <c:axId val="76212840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53742780"/>
        <c:crosses val="autoZero"/>
        <c:auto val="1"/>
        <c:lblAlgn val="ctr"/>
        <c:lblOffset val="100"/>
      </c:catAx>
      <c:valAx>
        <c:axId val="53742780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6212840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25560">
      <a:solidFill>
        <a:srgbClr val="c0504d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Answer In % A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50</c:v>
                </c:pt>
                <c:pt idx="1">
                  <c:v>53.5714285714286</c:v>
                </c:pt>
                <c:pt idx="2">
                  <c:v>21.4285714285714</c:v>
                </c:pt>
                <c:pt idx="3">
                  <c:v>14.2857142857143</c:v>
                </c:pt>
                <c:pt idx="4">
                  <c:v>33.9285714285714</c:v>
                </c:pt>
                <c:pt idx="5">
                  <c:v>44.6428571428572</c:v>
                </c:pt>
                <c:pt idx="6">
                  <c:v>17.8571428571429</c:v>
                </c:pt>
                <c:pt idx="7">
                  <c:v>19.6428571428571</c:v>
                </c:pt>
                <c:pt idx="8">
                  <c:v>16.0714285714286</c:v>
                </c:pt>
                <c:pt idx="9">
                  <c:v>12.5</c:v>
                </c:pt>
                <c:pt idx="10">
                  <c:v>14.2857142857143</c:v>
                </c:pt>
                <c:pt idx="11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Answer In % B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2"/>
                <c:pt idx="0">
                  <c:v>50</c:v>
                </c:pt>
                <c:pt idx="1">
                  <c:v>46.4285714285714</c:v>
                </c:pt>
                <c:pt idx="2">
                  <c:v>78.5714285714285</c:v>
                </c:pt>
                <c:pt idx="3">
                  <c:v>83.9285714285714</c:v>
                </c:pt>
                <c:pt idx="4">
                  <c:v>50</c:v>
                </c:pt>
                <c:pt idx="5">
                  <c:v>42.8571428571428</c:v>
                </c:pt>
                <c:pt idx="6">
                  <c:v>64.2857142857143</c:v>
                </c:pt>
                <c:pt idx="7">
                  <c:v>51.7857142857143</c:v>
                </c:pt>
                <c:pt idx="8">
                  <c:v>42.8571428571428</c:v>
                </c:pt>
                <c:pt idx="9">
                  <c:v>42.8571428571428</c:v>
                </c:pt>
                <c:pt idx="10">
                  <c:v>51.7857142857143</c:v>
                </c:pt>
                <c:pt idx="11">
                  <c:v>87.5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Answer In % C</c:v>
                </c:pt>
              </c:strCache>
            </c:strRef>
          </c:tx>
          <c:spPr>
            <a:solidFill>
              <a:srgbClr val="9bbb59"/>
            </a:solidFill>
            <a:ln>
              <a:noFill/>
            </a:ln>
          </c:spPr>
          <c:invertIfNegative val="0"/>
          <c:dLbls>
            <c:numFmt formatCode="General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2"/>
                <c:pt idx="0">
                  <c:v/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  <c:pt idx="4">
                  <c:v>16.0714285714286</c:v>
                </c:pt>
                <c:pt idx="5">
                  <c:v>12.5</c:v>
                </c:pt>
                <c:pt idx="6">
                  <c:v>12.5</c:v>
                </c:pt>
                <c:pt idx="7">
                  <c:v>26.7857142857143</c:v>
                </c:pt>
                <c:pt idx="8">
                  <c:v>39.2857142857143</c:v>
                </c:pt>
                <c:pt idx="9">
                  <c:v>41.0714285714286</c:v>
                </c:pt>
                <c:pt idx="10">
                  <c:v>33.9285714285714</c:v>
                </c:pt>
                <c:pt idx="11">
                  <c:v/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Answer In % D</c:v>
                </c:pt>
              </c:strCache>
            </c:strRef>
          </c:tx>
          <c:spPr>
            <a:solidFill>
              <a:srgbClr val="8064a2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1.78571428571429</c:v>
                </c:pt>
                <c:pt idx="4">
                  <c:v>0</c:v>
                </c:pt>
                <c:pt idx="5">
                  <c:v>0</c:v>
                </c:pt>
                <c:pt idx="6">
                  <c:v>5.35714285714286</c:v>
                </c:pt>
                <c:pt idx="7">
                  <c:v>1.78571428571429</c:v>
                </c:pt>
                <c:pt idx="8">
                  <c:v>1.78571428571429</c:v>
                </c:pt>
                <c:pt idx="9">
                  <c:v>3.57142857142857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Answer In % E</c:v>
                </c:pt>
              </c:strCache>
            </c:strRef>
          </c:tx>
          <c:spPr>
            <a:solidFill>
              <a:srgbClr val="4bacc6"/>
            </a:solidFill>
            <a:ln>
              <a:noFill/>
            </a:ln>
          </c:spPr>
          <c:invertIfNegative val="0"/>
          <c:dLbls>
            <c:numFmt formatCode="0.0" sourceLinked="1"/>
            <c:showLegendKey val="0"/>
            <c:showVal val="1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gapWidth val="150"/>
        <c:shape val="cylinder"/>
        <c:axId val="65370124"/>
        <c:axId val="71132267"/>
        <c:axId val="0"/>
      </c:bar3DChart>
      <c:catAx>
        <c:axId val="65370124"/>
        <c:scaling>
          <c:orientation val="minMax"/>
        </c:scaling>
        <c:delete val="0"/>
        <c:axPos val="b"/>
        <c:numFmt formatCode="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1132267"/>
        <c:crosses val="autoZero"/>
        <c:auto val="1"/>
        <c:lblAlgn val="ctr"/>
        <c:lblOffset val="100"/>
      </c:catAx>
      <c:valAx>
        <c:axId val="71132267"/>
        <c:scaling>
          <c:orientation val="minMax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65370124"/>
        <c:crosses val="autoZero"/>
      </c:valAx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76320">
      <a:solidFill>
        <a:srgbClr val="c0504d"/>
      </a:solidFill>
      <a:round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LibreOffice/6.0.7.3$Linux_X86_64 LibreOffice_project/00m0$Build-3</Application>
  <Pages>1</Pages>
  <Words>50</Words>
  <Characters>213</Characters>
  <CharactersWithSpaces>255</CharactersWithSpaces>
  <Paragraphs>10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2019-09-09T20:25:00Z</dcterms:created>
  <dc:creator>admin</dc:creator>
  <dc:description/>
  <dc:language>en-IN</dc:language>
  <cp:lastModifiedBy/>
  <dcterms:modified xsi:type="dcterms:W3CDTF">2019-12-06T20:25:10Z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