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charts/chart1.xml" ContentType="application/vnd.openxmlformats-officedocument.drawingml.chart+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center"/>
        <w:rPr>
          <w:b/>
          <w:b/>
        </w:rPr>
      </w:pPr>
      <w:r>
        <w:rPr>
          <w:b/>
        </w:rPr>
        <w:t>Feedback by Instructors</w:t>
      </w:r>
    </w:p>
    <w:p>
      <w:pPr>
        <w:pStyle w:val="Normal"/>
        <w:spacing w:before="0" w:after="0"/>
        <w:jc w:val="center"/>
        <w:rPr>
          <w:b/>
          <w:b/>
        </w:rPr>
      </w:pPr>
      <w:r>
        <w:rPr>
          <w:b/>
        </w:rPr>
        <w:t>Department of Rural Studies (Session 2018-19)</w:t>
      </w:r>
    </w:p>
    <w:p>
      <w:pPr>
        <w:pStyle w:val="Normal"/>
        <w:spacing w:before="0" w:after="0"/>
        <w:rPr/>
      </w:pPr>
      <w:r>
        <w:rPr/>
      </w:r>
    </w:p>
    <w:p>
      <w:pPr>
        <w:pStyle w:val="Normal"/>
        <w:spacing w:before="0" w:after="0"/>
        <w:jc w:val="both"/>
        <w:rPr/>
      </w:pPr>
      <w:r>
        <w:rPr/>
        <w:t>The Department of Rural Studies having faculties from diverse disciplinary backgrounds teach the students to imbibe the interdisciplinary nature of the subject. To improve the teaching learning process, we seek constructive feed-back from our respected faculties at the end of each session about the major aspects relevant for appraising the teaching-learning process. The findings of the structured feed-back may be pointed out as follows:</w:t>
      </w:r>
    </w:p>
    <w:p>
      <w:pPr>
        <w:pStyle w:val="ListParagraph"/>
        <w:numPr>
          <w:ilvl w:val="0"/>
          <w:numId w:val="1"/>
        </w:numPr>
        <w:spacing w:before="0" w:after="0"/>
        <w:contextualSpacing/>
        <w:jc w:val="both"/>
        <w:rPr/>
      </w:pPr>
      <w:r>
        <w:rPr/>
        <w:t xml:space="preserve">Out of the five criteria that were selected, regularity of the students has been rated as excellent. Our students, who reside in far-flung areas with low connectivity, stay as paying guest near the University to maintain regularity. </w:t>
      </w:r>
    </w:p>
    <w:p>
      <w:pPr>
        <w:pStyle w:val="ListParagraph"/>
        <w:numPr>
          <w:ilvl w:val="0"/>
          <w:numId w:val="1"/>
        </w:numPr>
        <w:spacing w:before="0" w:after="0"/>
        <w:contextualSpacing/>
        <w:jc w:val="both"/>
        <w:rPr/>
      </w:pPr>
      <w:r>
        <w:rPr/>
        <w:t>Time allotted for each course appear adequate with near ‘excellent’ rating. This implies that time taken to complete the assigned course is comfortable as well as sufficient to accommodate revision and class tutorials.</w:t>
      </w:r>
    </w:p>
    <w:p>
      <w:pPr>
        <w:pStyle w:val="ListParagraph"/>
        <w:numPr>
          <w:ilvl w:val="0"/>
          <w:numId w:val="1"/>
        </w:numPr>
        <w:spacing w:before="0" w:after="0"/>
        <w:contextualSpacing/>
        <w:jc w:val="both"/>
        <w:rPr/>
      </w:pPr>
      <w:r>
        <w:rPr/>
        <w:t xml:space="preserve">Interaction quality of the students is of average level primarily because of the communication issues in English language. The instructors have unanimously suggested emphasizing the use of English more to address this issue. </w:t>
      </w:r>
    </w:p>
    <w:p>
      <w:pPr>
        <w:pStyle w:val="ListParagraph"/>
        <w:numPr>
          <w:ilvl w:val="0"/>
          <w:numId w:val="1"/>
        </w:numPr>
        <w:spacing w:before="0" w:after="0"/>
        <w:contextualSpacing/>
        <w:jc w:val="both"/>
        <w:rPr/>
      </w:pPr>
      <w:r>
        <w:rPr/>
        <w:t xml:space="preserve"> </w:t>
      </w:r>
      <w:r>
        <w:rPr/>
        <w:t>Pre-requisite knowledge of the students is of average quality primarily because there is considerable diversity in the subject of intake in the course. This is in fact expected because the multidisciplinary nature of the subject entails drawing from several mother subjects and hence no students have sufficient expertise over the Master of Rural Studies courses. However, the domain knowledge of the students in their own subject of graduation is of satisfactory level.</w:t>
      </w:r>
    </w:p>
    <w:p>
      <w:pPr>
        <w:pStyle w:val="ListParagraph"/>
        <w:numPr>
          <w:ilvl w:val="0"/>
          <w:numId w:val="1"/>
        </w:numPr>
        <w:spacing w:before="0" w:after="0"/>
        <w:contextualSpacing/>
        <w:jc w:val="both"/>
        <w:rPr/>
      </w:pPr>
      <w:r>
        <w:rPr/>
        <w:t xml:space="preserve">The most noteworthy response from all our instructors pertains to the insufficiency of adequate infrastructure that has affected the teaching-learning process to a large extent. </w:t>
      </w:r>
    </w:p>
    <w:p>
      <w:pPr>
        <w:pStyle w:val="ListParagraph"/>
        <w:numPr>
          <w:ilvl w:val="1"/>
          <w:numId w:val="1"/>
        </w:numPr>
        <w:spacing w:before="0" w:after="0"/>
        <w:contextualSpacing/>
        <w:jc w:val="both"/>
        <w:rPr/>
      </w:pPr>
      <w:r>
        <w:rPr/>
        <w:t xml:space="preserve">The department still donot have any LCD projector and ICT enabled class room. Using of ICT in class room lecture is therefore subject to availability of the projector that is common for all the university departments. </w:t>
      </w:r>
    </w:p>
    <w:p>
      <w:pPr>
        <w:pStyle w:val="ListParagraph"/>
        <w:numPr>
          <w:ilvl w:val="1"/>
          <w:numId w:val="1"/>
        </w:numPr>
        <w:spacing w:before="0" w:after="0"/>
        <w:contextualSpacing/>
        <w:jc w:val="both"/>
        <w:rPr/>
      </w:pPr>
      <w:r>
        <w:rPr/>
        <w:t>Although the course has several computer aided exercises, there continues to exist severe deficiency of computers and properly licensed softwares.</w:t>
      </w:r>
    </w:p>
    <w:p>
      <w:pPr>
        <w:pStyle w:val="Normal"/>
        <w:spacing w:before="0" w:after="200"/>
        <w:jc w:val="center"/>
        <w:rPr/>
      </w:pPr>
      <w:r>
        <w:rPr/>
        <w:drawing>
          <wp:inline distT="0" distB="0" distL="0" distR="0">
            <wp:extent cx="4322445" cy="2902585"/>
            <wp:effectExtent l="0" t="0" r="0" b="0"/>
            <wp:docPr id="1"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2"/>
              </a:graphicData>
            </a:graphic>
          </wp:inline>
        </w:drawing>
      </w:r>
    </w:p>
    <w:sectPr>
      <w:type w:val="nextPage"/>
      <w:pgSz w:w="12240" w:h="15840"/>
      <w:pgMar w:left="1170" w:right="1080" w:header="0" w:top="1080" w:footer="0" w:bottom="117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ahoma">
    <w:charset w:val="01"/>
    <w:family w:val="roman"/>
    <w:pitch w:val="variable"/>
  </w:font>
  <w:font w:name="Liberation Sans">
    <w:altName w:val="Arial"/>
    <w:charset w:val="01"/>
    <w:family w:val="swiss"/>
    <w:pitch w:val="variable"/>
  </w:font>
  <w:font w:name="Symbol">
    <w:charset w:val="02"/>
    <w:family w:val="auto"/>
    <w:pitch w:val="default"/>
  </w:font>
  <w:font w:name="Wingdings">
    <w:charset w:val="02"/>
    <w:family w:val="auto"/>
    <w:pitch w:val="default"/>
  </w:font>
  <w:font w:name="Courier New">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bb2b2d"/>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374f89"/>
    <w:rPr>
      <w:rFonts w:ascii="Tahoma" w:hAnsi="Tahoma" w:cs="Tahoma"/>
      <w:sz w:val="16"/>
      <w:szCs w:val="16"/>
    </w:rPr>
  </w:style>
  <w:style w:type="character" w:styleId="ListLabel1">
    <w:name w:val="ListLabel 1"/>
    <w:qFormat/>
    <w:rPr>
      <w:rFonts w:cs="Courier New"/>
    </w:rPr>
  </w:style>
  <w:style w:type="character" w:styleId="ListLabel2">
    <w:name w:val="ListLabel 2"/>
    <w:qFormat/>
    <w:rPr>
      <w:rFonts w:cs="Courier New"/>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unhideWhenUsed/>
    <w:qFormat/>
    <w:rsid w:val="00374f89"/>
    <w:pPr>
      <w:spacing w:lineRule="auto" w:line="240" w:before="0" w:after="0"/>
    </w:pPr>
    <w:rPr>
      <w:rFonts w:ascii="Tahoma" w:hAnsi="Tahoma" w:cs="Tahoma"/>
      <w:sz w:val="16"/>
      <w:szCs w:val="16"/>
    </w:rPr>
  </w:style>
  <w:style w:type="paragraph" w:styleId="ListParagraph">
    <w:name w:val="List Paragraph"/>
    <w:basedOn w:val="Normal"/>
    <w:uiPriority w:val="34"/>
    <w:qFormat/>
    <w:rsid w:val="004a6d35"/>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hart" Target="charts/chart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sz="1000" spc="-1" strike="noStrike">
                <a:solidFill>
                  <a:srgbClr val="000000"/>
                </a:solidFill>
                <a:latin typeface="Calibri"/>
              </a:defRPr>
            </a:pPr>
            <a:r>
              <a:rPr b="1" sz="1000" spc="-1" strike="noStrike">
                <a:solidFill>
                  <a:srgbClr val="000000"/>
                </a:solidFill>
                <a:latin typeface="Calibri"/>
              </a:rPr>
              <a:t>Instructor feed back (Session 2018-19)
Dept of Rural Studies</a:t>
            </a:r>
          </a:p>
        </c:rich>
      </c:tx>
      <c:overlay val="0"/>
      <c:spPr>
        <a:noFill/>
        <a:ln>
          <a:noFill/>
        </a:ln>
      </c:spPr>
    </c:title>
    <c:autoTitleDeleted val="0"/>
    <c:plotArea>
      <c:barChart>
        <c:barDir val="col"/>
        <c:grouping val="clustered"/>
        <c:varyColors val="0"/>
        <c:ser>
          <c:idx val="0"/>
          <c:order val="0"/>
          <c:tx>
            <c:strRef>
              <c:f>label 0</c:f>
              <c:strCache>
                <c:ptCount val="1"/>
                <c:pt idx="0">
                  <c:v/>
                </c:pt>
              </c:strCache>
            </c:strRef>
          </c:tx>
          <c:spPr>
            <a:solidFill>
              <a:srgbClr val="4f81bd"/>
            </a:solidFill>
            <a:ln>
              <a:noFill/>
            </a:ln>
          </c:spPr>
          <c:invertIfNegative val="0"/>
          <c:dLbls>
            <c:numFmt formatCode="General" sourceLinked="1"/>
            <c:dLblPos val="outEnd"/>
            <c:showLegendKey val="0"/>
            <c:showVal val="1"/>
            <c:showCatName val="0"/>
            <c:showSerName val="0"/>
            <c:showPercent val="0"/>
            <c:showLeaderLines val="0"/>
          </c:dLbls>
          <c:cat>
            <c:strRef>
              <c:f>categories</c:f>
              <c:strCache>
                <c:ptCount val="5"/>
                <c:pt idx="0">
                  <c:v>Pre-requisitie knowledge of student</c:v>
                </c:pt>
                <c:pt idx="1">
                  <c:v>Attendance</c:v>
                </c:pt>
                <c:pt idx="2">
                  <c:v>Interaction quality of students</c:v>
                </c:pt>
                <c:pt idx="3">
                  <c:v>Adeqacy of time allotted to course</c:v>
                </c:pt>
                <c:pt idx="4">
                  <c:v>Adequacy of infrastructure</c:v>
                </c:pt>
              </c:strCache>
            </c:strRef>
          </c:cat>
          <c:val>
            <c:numRef>
              <c:f>0</c:f>
              <c:numCache>
                <c:formatCode>General</c:formatCode>
                <c:ptCount val="5"/>
                <c:pt idx="0">
                  <c:v>3</c:v>
                </c:pt>
                <c:pt idx="1">
                  <c:v>5</c:v>
                </c:pt>
                <c:pt idx="2">
                  <c:v>3.5</c:v>
                </c:pt>
                <c:pt idx="3">
                  <c:v>4.5</c:v>
                </c:pt>
                <c:pt idx="4">
                  <c:v>2.5</c:v>
                </c:pt>
              </c:numCache>
            </c:numRef>
          </c:val>
        </c:ser>
        <c:gapWidth val="150"/>
        <c:overlap val="0"/>
        <c:axId val="57287537"/>
        <c:axId val="15676261"/>
      </c:barChart>
      <c:catAx>
        <c:axId val="57287537"/>
        <c:scaling>
          <c:orientation val="minMax"/>
        </c:scaling>
        <c:delete val="0"/>
        <c:axPos val="b"/>
        <c:numFmt formatCode="DD/MM/YYYY" sourceLinked="1"/>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15676261"/>
        <c:crosses val="autoZero"/>
        <c:auto val="1"/>
        <c:lblAlgn val="ctr"/>
        <c:lblOffset val="100"/>
      </c:catAx>
      <c:valAx>
        <c:axId val="15676261"/>
        <c:scaling>
          <c:orientation val="minMax"/>
          <c:max val="5"/>
        </c:scaling>
        <c:delete val="0"/>
        <c:axPos val="l"/>
        <c:majorGridlines>
          <c:spPr>
            <a:ln w="9360">
              <a:solidFill>
                <a:srgbClr val="878787"/>
              </a:solidFill>
              <a:round/>
            </a:ln>
          </c:spPr>
        </c:majorGridlines>
        <c:title>
          <c:tx>
            <c:rich>
              <a:bodyPr rot="-5400000"/>
              <a:lstStyle/>
              <a:p>
                <a:pPr>
                  <a:defRPr b="1" sz="1000" spc="-1" strike="noStrike">
                    <a:solidFill>
                      <a:srgbClr val="000000"/>
                    </a:solidFill>
                    <a:latin typeface="Calibri"/>
                  </a:defRPr>
                </a:pPr>
                <a:r>
                  <a:rPr b="1" sz="1000" spc="-1" strike="noStrike">
                    <a:solidFill>
                      <a:srgbClr val="000000"/>
                    </a:solidFill>
                    <a:latin typeface="Calibri"/>
                  </a:rPr>
                  <a:t>Score </a:t>
                </a:r>
              </a:p>
            </c:rich>
          </c:tx>
          <c:overlay val="0"/>
          <c:spPr>
            <a:noFill/>
            <a:ln>
              <a:noFill/>
            </a:ln>
          </c:spPr>
        </c:title>
        <c:numFmt formatCode="General" sourceLinked="0"/>
        <c:majorTickMark val="none"/>
        <c:minorTickMark val="none"/>
        <c:tickLblPos val="nextTo"/>
        <c:spPr>
          <a:ln w="9360">
            <a:solidFill>
              <a:srgbClr val="878787"/>
            </a:solidFill>
            <a:round/>
          </a:ln>
        </c:spPr>
        <c:txPr>
          <a:bodyPr/>
          <a:lstStyle/>
          <a:p>
            <a:pPr>
              <a:defRPr b="0" sz="1000" spc="-1" strike="noStrike">
                <a:solidFill>
                  <a:srgbClr val="000000"/>
                </a:solidFill>
                <a:latin typeface="Calibri"/>
              </a:defRPr>
            </a:pPr>
          </a:p>
        </c:txPr>
        <c:crossAx val="57287537"/>
        <c:crosses val="autoZero"/>
        <c:majorUnit val="1"/>
        <c:minorUnit val="0.5"/>
      </c:valAx>
      <c:spPr>
        <a:solidFill>
          <a:srgbClr val="ffffff"/>
        </a:solidFill>
        <a:ln>
          <a:noFill/>
        </a:ln>
      </c:spPr>
    </c:plotArea>
    <c:plotVisOnly val="1"/>
    <c:dispBlanksAs val="gap"/>
  </c:chart>
  <c:spPr>
    <a:solidFill>
      <a:srgbClr val="ffffff"/>
    </a:solidFill>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LibreOffice/6.0.7.3$Linux_X86_64 LibreOffice_project/00m0$Build-3</Application>
  <Pages>2</Pages>
  <Words>336</Words>
  <Characters>1882</Characters>
  <CharactersWithSpaces>2206</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2019-08-02T10:58:00Z</dcterms:created>
  <dc:creator>WBSU RD</dc:creator>
  <dc:description/>
  <dc:language>en-IN</dc:language>
  <cp:lastModifiedBy>acer</cp:lastModifiedBy>
  <dcterms:modified xsi:type="dcterms:W3CDTF">2019-09-09T11:24:00Z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